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:rsidR="00C60C84" w:rsidRPr="00F32768" w:rsidRDefault="00C60C8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C60C84" w:rsidRPr="00F32768" w:rsidRDefault="00C60C8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8A332F" w:rsidRPr="00F32768" w:rsidRDefault="0094622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32768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F32768" w:rsidRDefault="00920E6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D41A5" w:rsidRPr="00F32768">
        <w:rPr>
          <w:rFonts w:ascii="Arial" w:hAnsi="Arial" w:cs="Arial"/>
          <w:b/>
          <w:color w:val="auto"/>
          <w:sz w:val="24"/>
          <w:szCs w:val="24"/>
        </w:rPr>
        <w:t>I</w:t>
      </w:r>
      <w:r w:rsidR="008C1F85" w:rsidRPr="00F32768">
        <w:rPr>
          <w:rFonts w:ascii="Arial" w:hAnsi="Arial" w:cs="Arial"/>
          <w:b/>
          <w:color w:val="auto"/>
          <w:sz w:val="24"/>
          <w:szCs w:val="24"/>
        </w:rPr>
        <w:t>I</w:t>
      </w:r>
      <w:r w:rsidRPr="00F32768">
        <w:rPr>
          <w:rFonts w:ascii="Arial" w:hAnsi="Arial" w:cs="Arial"/>
          <w:b/>
          <w:color w:val="auto"/>
          <w:sz w:val="24"/>
          <w:szCs w:val="24"/>
        </w:rPr>
        <w:t>I</w:t>
      </w:r>
      <w:r w:rsidR="00B20F7C" w:rsidRPr="00F32768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C6721" w:rsidRPr="00F32768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F32768" w:rsidRDefault="003C7325" w:rsidP="003642B8">
      <w:pPr>
        <w:spacing w:after="360"/>
        <w:jc w:val="center"/>
        <w:rPr>
          <w:rFonts w:ascii="Arial" w:hAnsi="Arial" w:cs="Arial"/>
        </w:rPr>
      </w:pPr>
      <w:r w:rsidRPr="00F32768">
        <w:rPr>
          <w:rFonts w:ascii="Arial" w:hAnsi="Arial" w:cs="Arial"/>
        </w:rPr>
        <w:t xml:space="preserve">(dane należy wskazać w </w:t>
      </w:r>
      <w:r w:rsidR="00304D04" w:rsidRPr="00F32768">
        <w:rPr>
          <w:rFonts w:ascii="Arial" w:hAnsi="Arial" w:cs="Arial"/>
        </w:rPr>
        <w:t xml:space="preserve">zakresie </w:t>
      </w:r>
      <w:r w:rsidR="00F2008A" w:rsidRPr="00F32768">
        <w:rPr>
          <w:rFonts w:ascii="Arial" w:hAnsi="Arial" w:cs="Arial"/>
        </w:rPr>
        <w:t xml:space="preserve">odnoszącym się do </w:t>
      </w:r>
      <w:r w:rsidR="00304D04" w:rsidRPr="00F32768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3276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i/>
                <w:sz w:val="18"/>
                <w:szCs w:val="18"/>
              </w:rPr>
              <w:t>Portal Bezpieczeństwa i Obronności Akademii Sztuki Wojennej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32768" w:rsidRDefault="009F7E62" w:rsidP="006822BC">
            <w:pPr>
              <w:spacing w:line="276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Minister Obrony Narodowej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Akademia Sztuki Wojennej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Oś priorytetowa: II E-administracja i otwarty rząd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Poddziałanie: 2.3.1 Cyfrowe udostępnienie informacji sektora publicznego ze</w:t>
            </w:r>
            <w:r w:rsidR="00B12566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źródeł administracyjnych i zasobów nauki</w:t>
            </w:r>
          </w:p>
          <w:p w:rsidR="004C2CA9" w:rsidRPr="00F32768" w:rsidRDefault="004C2CA9" w:rsidP="00E232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Projekt realizowany z Europejskiego Funduszu Rozwoju Regionalnego i budżetu państwa - </w:t>
            </w:r>
            <w:r w:rsidR="00B12566" w:rsidRPr="00F32768">
              <w:rPr>
                <w:rFonts w:ascii="Arial" w:hAnsi="Arial" w:cs="Arial"/>
                <w:sz w:val="18"/>
                <w:szCs w:val="18"/>
              </w:rPr>
              <w:t>część 38. szkolnictwo wyższe (od 01.2019 pozycja 28 szkolnictwo wyższe i nauka)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F3276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F327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2BA3" w:rsidRPr="00F32768" w:rsidRDefault="00F27CAF" w:rsidP="00F27CA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11 956 504,00 PLN</w:t>
            </w:r>
          </w:p>
        </w:tc>
      </w:tr>
      <w:tr w:rsidR="00C60C84" w:rsidRPr="00F32768" w:rsidTr="00C60C84">
        <w:trPr>
          <w:trHeight w:val="39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60C84" w:rsidRPr="00F32768" w:rsidRDefault="00C60C8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C84" w:rsidRPr="00F32768" w:rsidRDefault="00F27CAF" w:rsidP="00F27CA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11 859 544,00 PLN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F3276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F3276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F3276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32768" w:rsidRDefault="004D2B86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 rozpoczęcia real</w:t>
            </w:r>
            <w:r w:rsidR="00402BA3" w:rsidRPr="00F32768">
              <w:rPr>
                <w:rFonts w:ascii="Arial" w:hAnsi="Arial" w:cs="Arial"/>
                <w:sz w:val="18"/>
                <w:szCs w:val="18"/>
              </w:rPr>
              <w:t>izacji projektu: 16.01.2017 r.</w:t>
            </w:r>
          </w:p>
          <w:p w:rsidR="00CA516B" w:rsidRPr="00F32768" w:rsidRDefault="004D2B86" w:rsidP="00402BA3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F3276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02BA3" w:rsidRPr="00F32768">
              <w:rPr>
                <w:rFonts w:ascii="Arial" w:hAnsi="Arial" w:cs="Arial"/>
                <w:sz w:val="18"/>
                <w:szCs w:val="18"/>
              </w:rPr>
              <w:t>08.01.2020 r.</w:t>
            </w:r>
          </w:p>
        </w:tc>
      </w:tr>
    </w:tbl>
    <w:p w:rsidR="00CA516B" w:rsidRPr="00F3276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3276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4C1D48" w:rsidRPr="00F32768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F32768">
        <w:rPr>
          <w:rFonts w:ascii="Arial" w:hAnsi="Arial" w:cs="Arial"/>
          <w:color w:val="auto"/>
        </w:rPr>
        <w:tab/>
      </w:r>
      <w:r w:rsidR="00402BA3" w:rsidRPr="00F32768">
        <w:rPr>
          <w:rFonts w:ascii="Arial" w:hAnsi="Arial" w:cs="Arial"/>
          <w:color w:val="auto"/>
          <w:sz w:val="18"/>
          <w:szCs w:val="18"/>
        </w:rPr>
        <w:t>Nie dotyczy</w:t>
      </w:r>
    </w:p>
    <w:p w:rsidR="003C7325" w:rsidRPr="00F3276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Postępfinansowy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F32768" w:rsidTr="00297DC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7DC3" w:rsidRPr="00F32768" w:rsidTr="00297DC3">
        <w:tc>
          <w:tcPr>
            <w:tcW w:w="2972" w:type="dxa"/>
            <w:hideMark/>
          </w:tcPr>
          <w:p w:rsidR="00297DC3" w:rsidRPr="00F32768" w:rsidRDefault="006D41A5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83</w:t>
            </w:r>
            <w:r w:rsidR="00297DC3" w:rsidRPr="00F3276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297DC3" w:rsidRPr="00F32768" w:rsidRDefault="008C1F85" w:rsidP="00F765D0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33</w:t>
            </w:r>
            <w:r w:rsidR="00D76022" w:rsidRPr="00F32768">
              <w:rPr>
                <w:rFonts w:ascii="Arial" w:hAnsi="Arial" w:cs="Arial"/>
                <w:sz w:val="18"/>
                <w:szCs w:val="20"/>
              </w:rPr>
              <w:t>miesięcy</w:t>
            </w:r>
            <w:r w:rsidR="00297DC3" w:rsidRPr="00F32768">
              <w:rPr>
                <w:rFonts w:ascii="Arial" w:hAnsi="Arial" w:cs="Arial"/>
                <w:sz w:val="18"/>
                <w:szCs w:val="20"/>
              </w:rPr>
              <w:t xml:space="preserve"> z 36 miesięcy</w:t>
            </w:r>
          </w:p>
        </w:tc>
        <w:tc>
          <w:tcPr>
            <w:tcW w:w="3260" w:type="dxa"/>
          </w:tcPr>
          <w:p w:rsidR="00F27CAF" w:rsidRPr="00F32768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1: 66,7%</w:t>
            </w:r>
          </w:p>
          <w:p w:rsidR="00F27CAF" w:rsidRPr="00F32768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2: 48,7%</w:t>
            </w:r>
          </w:p>
          <w:p w:rsidR="009F7E62" w:rsidRPr="00F32768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3</w:t>
            </w:r>
            <w:r w:rsidR="007A7536" w:rsidRPr="00F32768">
              <w:rPr>
                <w:rFonts w:ascii="Arial" w:hAnsi="Arial" w:cs="Arial"/>
                <w:sz w:val="18"/>
                <w:szCs w:val="20"/>
              </w:rPr>
              <w:t>:</w:t>
            </w:r>
            <w:r w:rsidR="00112BB3" w:rsidRPr="00F32768">
              <w:rPr>
                <w:rFonts w:ascii="Arial" w:hAnsi="Arial" w:cs="Arial"/>
                <w:sz w:val="18"/>
                <w:szCs w:val="20"/>
              </w:rPr>
              <w:t>67,2</w:t>
            </w:r>
            <w:r w:rsidR="007A7536" w:rsidRPr="00F3276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297DC3" w:rsidRPr="00F32768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8</w:t>
            </w:r>
            <w:r w:rsidR="00CF434B" w:rsidRPr="00F32768">
              <w:rPr>
                <w:rFonts w:ascii="Arial" w:hAnsi="Arial" w:cs="Arial"/>
                <w:sz w:val="18"/>
                <w:szCs w:val="20"/>
              </w:rPr>
              <w:t>4</w:t>
            </w:r>
            <w:r w:rsidR="00F765D0" w:rsidRPr="00F32768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297DC3" w:rsidRPr="00F32768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297DC3" w:rsidRPr="00F32768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</w:tbl>
    <w:p w:rsidR="00187572" w:rsidRPr="00F32768" w:rsidRDefault="00187572" w:rsidP="00187572"/>
    <w:p w:rsidR="00E42938" w:rsidRPr="00F3276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Pr="00F32768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31"/>
        <w:gridCol w:w="2017"/>
        <w:gridCol w:w="1282"/>
        <w:gridCol w:w="1769"/>
        <w:gridCol w:w="2540"/>
      </w:tblGrid>
      <w:tr w:rsidR="00ED66EC" w:rsidRPr="00F32768" w:rsidTr="00AB68DA">
        <w:trPr>
          <w:tblHeader/>
        </w:trPr>
        <w:tc>
          <w:tcPr>
            <w:tcW w:w="2031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F3276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282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2540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D66EC" w:rsidRPr="00F32768" w:rsidTr="00AB68DA">
        <w:trPr>
          <w:trHeight w:val="300"/>
        </w:trPr>
        <w:tc>
          <w:tcPr>
            <w:tcW w:w="2031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</w:t>
            </w:r>
          </w:p>
        </w:tc>
        <w:tc>
          <w:tcPr>
            <w:tcW w:w="2017" w:type="dxa"/>
            <w:hideMark/>
          </w:tcPr>
          <w:p w:rsidR="00ED66EC" w:rsidRPr="00F32768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69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AB68DA">
        <w:trPr>
          <w:trHeight w:val="468"/>
        </w:trPr>
        <w:tc>
          <w:tcPr>
            <w:tcW w:w="2031" w:type="dxa"/>
            <w:hideMark/>
          </w:tcPr>
          <w:p w:rsidR="00ED66EC" w:rsidRPr="00F32768" w:rsidRDefault="00ED66EC" w:rsidP="004F6FA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zestawu do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digitalizacji</w:t>
            </w:r>
          </w:p>
        </w:tc>
        <w:tc>
          <w:tcPr>
            <w:tcW w:w="2017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:rsidR="00ED66EC" w:rsidRPr="00F32768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pracowni digitalizacyjnej  / Odbiór prac etapu uruchomienia pracowni digitalizacyjnej</w:t>
            </w:r>
          </w:p>
        </w:tc>
        <w:tc>
          <w:tcPr>
            <w:tcW w:w="2017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69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40" w:type="dxa"/>
            <w:hideMark/>
          </w:tcPr>
          <w:p w:rsidR="00ED66EC" w:rsidRPr="00F32768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AB68DA">
        <w:trPr>
          <w:trHeight w:val="468"/>
        </w:trPr>
        <w:tc>
          <w:tcPr>
            <w:tcW w:w="2031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</w:t>
            </w:r>
          </w:p>
        </w:tc>
        <w:tc>
          <w:tcPr>
            <w:tcW w:w="2017" w:type="dxa"/>
            <w:hideMark/>
          </w:tcPr>
          <w:p w:rsidR="00ED66EC" w:rsidRPr="00F32768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:rsidR="00ED66EC" w:rsidRPr="00F32768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ED66EC" w:rsidRPr="00F32768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28490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Podpisanie umowy z wykonawcą usługi wsparcia technicznego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03.2017</w:t>
            </w:r>
          </w:p>
        </w:tc>
        <w:tc>
          <w:tcPr>
            <w:tcW w:w="176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04.2017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F32768" w:rsidRDefault="00ED66EC" w:rsidP="008E699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kamienia milowego pojawiło się opóźnienie związane z wyborem wykonawcy usługi wsparcia technicznego. Postępowanie wszczęto 7 marca (zamówienie publiczne), planowane zakończenie miało być 15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podpisanie umowy</w:t>
            </w:r>
            <w:r w:rsidR="00582CD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byłoby 21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jednakże ze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względu na konieczność wniesienia przez ofertodawców uzupełnień i wyjaśnień do złożonych ofert terminy uległy zmianie. Zamawiający (Beneficjent) nie miał wpływu na zaistniałą zmianę i jednocześnie zobowiązany jest</w:t>
            </w:r>
            <w:r w:rsidR="002A619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przestrzegania ustawy PZP. Umowa</w:t>
            </w:r>
            <w:r w:rsidR="00A022C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została podpisana 6</w:t>
            </w:r>
            <w:r w:rsidR="0083473B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kwietnia 2017. Nie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nie wpłynie to na przedłużenie terminu realizacji projektu, oraz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wpłynie negatywnie na przebieg realizacji kolejnych prac. Zaistniała sytuacja jest neutralna z punktu widzenia osiągnięcia kolejnych kamieni milowych, oraz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zakończenia realizacji projektu. </w:t>
            </w:r>
          </w:p>
        </w:tc>
      </w:tr>
      <w:tr w:rsidR="00ED66EC" w:rsidRPr="00F32768" w:rsidTr="00AB68DA">
        <w:trPr>
          <w:trHeight w:val="468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Odbiór urządzeń IT 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12.2017</w:t>
            </w:r>
          </w:p>
        </w:tc>
        <w:tc>
          <w:tcPr>
            <w:tcW w:w="1769" w:type="dxa"/>
            <w:hideMark/>
          </w:tcPr>
          <w:p w:rsidR="009D4929" w:rsidRPr="00F32768" w:rsidRDefault="00ED66EC" w:rsidP="008568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9D4929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2540" w:type="dxa"/>
            <w:hideMark/>
          </w:tcPr>
          <w:p w:rsidR="00ED66EC" w:rsidRPr="00F32768" w:rsidRDefault="00DA586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Nastąpiło opóźnienie związane z odbiorem urządzeń IT. 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Ogłoszenie dotyczące przetargu opublikowano 13 lutego 2018 roku. Planowany termin podpisania umowy miał być 13 lipca 2018, dostawa sprzętu ok. 13 sierpnia 2018, nie mniej jednak dnia 02.07.2018 r. </w:t>
            </w:r>
            <w:r w:rsidR="00CA0CB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zostało złożone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odwołanie do KIO, kwestionując wybór oferty. Powtórzono czynność wyboru</w:t>
            </w:r>
            <w:r w:rsidR="00B43EE0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ponownie została wybrana oferta tego samego oferenta i ponownie złożone zostało odwołanie </w:t>
            </w:r>
            <w:r w:rsidR="0036743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KIO. Werdykt ogłoszony na rozprawie, która odbyła się 31.08.2018 r. nakazuje dalszą weryfikację oferty. Wobec tego planowana data podpisania umowy to październik 2018.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mniej jednak umowa będzie przewidywała krótki termin dostawy urządzeń IT, tak, żeby opóźnienie nie wpłynęło na pozostałe etapy prac. Opóźnienie nie wpłynie negatywnie na postępy prac związane z realizacją projektu. Planowane jest niezwłoczne zakończenie postępowania i podpisanie umowy z wykonawcą.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Podpisanie umowy </w:t>
            </w:r>
            <w:r w:rsidR="0036743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usług programistycznych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 ramach kamienia milowego pojawiło się opóźnienie związane z wyborem wykonawcy usług programistycznych. Wnioskowane opóźnienie wynikał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 trwających prac w celu dopracowania przedmiotu</w:t>
            </w:r>
            <w:r w:rsidR="00582C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zamówienia, oraz dokumentacji przetargowej tak, żeby wyłonić wykonawcę, który stworzy możliwie najbardziej optymalne</w:t>
            </w:r>
            <w:r w:rsidR="00582C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oprogramowanie. Proces ten był bardzo złożonym działaniem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32768">
              <w:rPr>
                <w:rFonts w:ascii="Arial" w:hAnsi="Arial" w:cs="Arial"/>
                <w:sz w:val="18"/>
                <w:szCs w:val="18"/>
              </w:rPr>
              <w:t>w któr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zaangażowani byli eksperci ds. opisu przedmiotu zamówienia, doświadczona firma doradcza, dział zamówień publicznych, oraz prawnicy.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późnienie,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które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zaistniało, umożliwi realizację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Pr="00F32768">
              <w:rPr>
                <w:rFonts w:ascii="Arial" w:hAnsi="Arial" w:cs="Arial"/>
                <w:sz w:val="18"/>
                <w:szCs w:val="18"/>
              </w:rPr>
              <w:t>w sposób najbardziej skuteczny.</w:t>
            </w:r>
            <w:r w:rsidR="00582C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Mimo opóźnienia terminy przewidziane w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umowie zapewniają realizację projektu w terminie.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/ Zakończone prace programistyczne etapu III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176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2540" w:type="dxa"/>
            <w:hideMark/>
          </w:tcPr>
          <w:p w:rsidR="00B27604" w:rsidRPr="00F32768" w:rsidRDefault="00B2760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83473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 ramach kamienia milowego nastąpiło opóźnienie spowodowane opóźnieniem związanym z wyborem wykonawcy usług programistycznych.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 Dnia 2</w:t>
            </w:r>
            <w:r w:rsidRPr="00F32768">
              <w:rPr>
                <w:rFonts w:ascii="Arial" w:hAnsi="Arial" w:cs="Arial"/>
                <w:sz w:val="18"/>
                <w:szCs w:val="18"/>
              </w:rPr>
              <w:t>2.05.2018 r. podpisano umowę na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usługi programistyczne. Niniejszy kamień milowy zgodnie </w:t>
            </w:r>
            <w:r w:rsidR="0036743A" w:rsidRPr="00F32768">
              <w:rPr>
                <w:rFonts w:ascii="Arial" w:hAnsi="Arial" w:cs="Arial"/>
                <w:sz w:val="18"/>
                <w:szCs w:val="18"/>
              </w:rPr>
              <w:br/>
            </w:r>
            <w:r w:rsidRPr="00F32768">
              <w:rPr>
                <w:rFonts w:ascii="Arial" w:hAnsi="Arial" w:cs="Arial"/>
                <w:sz w:val="18"/>
                <w:szCs w:val="18"/>
              </w:rPr>
              <w:t>z umową planowany jest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do realizacji do 30.11.2018. Nastąpi opóźnienie kamienia milowego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>.</w:t>
            </w:r>
            <w:r w:rsidR="00582C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>J</w:t>
            </w:r>
            <w:r w:rsidRPr="00F32768">
              <w:rPr>
                <w:rFonts w:ascii="Arial" w:hAnsi="Arial" w:cs="Arial"/>
                <w:sz w:val="18"/>
                <w:szCs w:val="18"/>
              </w:rPr>
              <w:t>ednakże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32768">
              <w:rPr>
                <w:rFonts w:ascii="Arial" w:hAnsi="Arial" w:cs="Arial"/>
                <w:sz w:val="18"/>
                <w:szCs w:val="18"/>
              </w:rPr>
              <w:t>co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bardziej istotne kamień milowy związany z końcowym odbiorem systemu informatycznego "Zadanie 3 – Digitalizacja zasobów naukowych ASzWoj  / Odbiór prac etapu digitalizacji zasobów naukowych ASzWoj" wskazany </w:t>
            </w:r>
            <w:r w:rsidR="0036743A" w:rsidRPr="00F32768">
              <w:rPr>
                <w:rFonts w:ascii="Arial" w:hAnsi="Arial" w:cs="Arial"/>
                <w:sz w:val="18"/>
                <w:szCs w:val="18"/>
              </w:rPr>
              <w:br/>
            </w:r>
            <w:r w:rsidRPr="00F32768">
              <w:rPr>
                <w:rFonts w:ascii="Arial" w:hAnsi="Arial" w:cs="Arial"/>
                <w:sz w:val="18"/>
                <w:szCs w:val="18"/>
              </w:rPr>
              <w:t>we wniosku o dofinansowanie na 08.01.2020, nastąpi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zgodnie z umową na usługi programistyczne30.11.2019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Zakończone prace programistyczne etapu VI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05.2019</w:t>
            </w:r>
          </w:p>
        </w:tc>
        <w:tc>
          <w:tcPr>
            <w:tcW w:w="1769" w:type="dxa"/>
            <w:hideMark/>
          </w:tcPr>
          <w:p w:rsidR="00ED66EC" w:rsidRPr="00F32768" w:rsidRDefault="00ED66EC" w:rsidP="00546BE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546BE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04.2019</w:t>
            </w:r>
          </w:p>
        </w:tc>
        <w:tc>
          <w:tcPr>
            <w:tcW w:w="2540" w:type="dxa"/>
            <w:hideMark/>
          </w:tcPr>
          <w:p w:rsidR="00ED66EC" w:rsidRPr="00F32768" w:rsidRDefault="00E4384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produktów końcowych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Budowa systemu udostępniania zasobów naukowych ASzWoj  / System przekazany </w:t>
            </w:r>
            <w:r w:rsidR="0036743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Utrzymania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F32768" w:rsidTr="00AB68DA">
        <w:trPr>
          <w:trHeight w:val="924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zasobów naukowych ASzWoj  / Odbiór prac etapu budowy systemu udostępniania zasobów naukowych ASzWoj</w:t>
            </w:r>
          </w:p>
        </w:tc>
        <w:tc>
          <w:tcPr>
            <w:tcW w:w="2017" w:type="dxa"/>
            <w:hideMark/>
          </w:tcPr>
          <w:p w:rsidR="00F46FC2" w:rsidRPr="00F32768" w:rsidRDefault="00F46FC2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- 1 szt.</w:t>
            </w:r>
          </w:p>
          <w:p w:rsidR="00F46FC2" w:rsidRPr="00F32768" w:rsidRDefault="00F46FC2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ED66EC" w:rsidRPr="00F32768" w:rsidRDefault="00ED66EC" w:rsidP="00F46FC2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02.2020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F32768" w:rsidTr="00AB68DA">
        <w:trPr>
          <w:trHeight w:val="468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AB68DA">
        <w:trPr>
          <w:trHeight w:val="468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komputerów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6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06.2017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F32768" w:rsidRDefault="00ED66EC" w:rsidP="002F31D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Zadanie zrealizowane. Beneficjent opóźnił się z realizacją zamówienia w stosunku do wskazanych terminów kamienia milowego. Nie</w:t>
            </w:r>
            <w:r w:rsidR="002F31D2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kamień milowych zostało</w:t>
            </w:r>
            <w:r w:rsidR="00582CD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siągnięty, 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zakupione komputery służą pracom projektowym.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wykonawcą usługi skanowania 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11.2017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PRZEKROCZENIA TERMINU</w:t>
            </w:r>
          </w:p>
          <w:p w:rsidR="00ED66EC" w:rsidRPr="00F32768" w:rsidRDefault="00ED66EC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W ramach kamienia milowego pojawiło się opóźnienie związane z wyborem wykonawcy usług skanowania. Wnioskowane opóźnienie wynika z trwających prac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w celu dopracowania przedmiotu zamówienia, oraz dokumentacji przetargowej tak, żeby wyłonić wykonawcę, który możliwie najbardziej kompetentnie będzie świadczył usługi skanowania. Mimo opóźnienia przetarg został ogłoszony 28.07.2017,oraz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30.10.2017 opublikowano zawiadomienie o wyborze oferty. Umowa na usługę została</w:t>
            </w:r>
            <w:r w:rsidR="00582C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podpisana 13.11.2017. Zaistniała sytuacja nie ma wpływu na osiągnięcie wskaźników oraz nie wpływa na zmianę terminu zakończenia projektu.</w:t>
            </w:r>
          </w:p>
        </w:tc>
      </w:tr>
      <w:tr w:rsidR="00ED66EC" w:rsidRPr="00F32768" w:rsidTr="00AB68DA">
        <w:trPr>
          <w:trHeight w:val="468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Zeskanowanie 43% dokumentów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6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AB68DA">
        <w:trPr>
          <w:trHeight w:val="468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/  Zeskanowanie 88% dokumentów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69" w:type="dxa"/>
            <w:hideMark/>
          </w:tcPr>
          <w:p w:rsidR="00ED66EC" w:rsidRPr="00F32768" w:rsidRDefault="00ED66EC" w:rsidP="00F57A0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F57A0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540" w:type="dxa"/>
            <w:hideMark/>
          </w:tcPr>
          <w:p w:rsidR="00ED66EC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prac etapu digitalizacji zasobów naukowych ASzWoj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F32768" w:rsidTr="00AB68DA">
        <w:trPr>
          <w:trHeight w:val="300"/>
        </w:trPr>
        <w:tc>
          <w:tcPr>
            <w:tcW w:w="2031" w:type="dxa"/>
            <w:hideMark/>
          </w:tcPr>
          <w:p w:rsidR="00ED66EC" w:rsidRPr="00F32768" w:rsidRDefault="003E600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`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AB68DA">
        <w:trPr>
          <w:trHeight w:val="1608"/>
        </w:trPr>
        <w:tc>
          <w:tcPr>
            <w:tcW w:w="2031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agencją, która będzie prowadzić fan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page ASzWoj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Wnioskodawca nie zrealizował kamienia milowego, ponieważ realizuje projekt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 własnym zakresie. Na co otrzymał zgodę CPPC dnia 30 sierpnia 2017. Planowane osiągnięcie kamienia milowego jest zgodne z terminem wskazanym we wniosku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</w:tc>
      </w:tr>
      <w:tr w:rsidR="00ED66EC" w:rsidRPr="00F32768" w:rsidTr="00AB68DA">
        <w:trPr>
          <w:trHeight w:val="1608"/>
        </w:trPr>
        <w:tc>
          <w:tcPr>
            <w:tcW w:w="2031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agencją 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08.2019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D61368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Wnioskodawca nie zrealizował kamienia milowego ze względu na przedłużenie się przygotowania zapytania ofertowego spowodowanego zmianami planu promocji projektu. Zaistniała konieczność zmiany działań promocyjnych w stosunku do studium wykonalności, szczególnie szersza promocja w prasie specjalistycznej i na portalach branżowych zamiast promocji w prasie ogólnej.</w:t>
            </w:r>
          </w:p>
        </w:tc>
      </w:tr>
      <w:tr w:rsidR="00ED66EC" w:rsidRPr="00F32768" w:rsidTr="00AB68DA">
        <w:trPr>
          <w:trHeight w:val="696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udostępnianych zasobów  / Odbiór prac etapu promocji udostępnianych zasobów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F32768" w:rsidTr="00AB68DA">
        <w:trPr>
          <w:trHeight w:val="300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AB68DA">
        <w:trPr>
          <w:trHeight w:val="2976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pierwszej części budżetu projektu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69" w:type="dxa"/>
            <w:hideMark/>
          </w:tcPr>
          <w:p w:rsidR="00E540D6" w:rsidRPr="00F32768" w:rsidRDefault="00DD3E9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03.2019</w:t>
            </w:r>
          </w:p>
        </w:tc>
        <w:tc>
          <w:tcPr>
            <w:tcW w:w="2540" w:type="dxa"/>
            <w:hideMark/>
          </w:tcPr>
          <w:p w:rsidR="00CA608B" w:rsidRPr="00F32768" w:rsidRDefault="006B109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D3E9A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był opóźniony ze względu na opóźnienia z rozpoczęciem prac: usługi programowania, usługi skanowania, odbioru sprzętu IT. Ponadto podpisano umowy z wykonawcami usługi skanowania, usługi programowania na kwoty niższe niż to założono we Wniosku o dofinansowanie.</w:t>
            </w:r>
          </w:p>
          <w:p w:rsidR="00DD3E9A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miało wpływu na osiągnięcie wskaźników projektu, oraz termin zakończenia projektu. Wnioskodawca podpisywał umowy, tak, żeby zrealizować projekt w planowanym terminie. Odbiory poszczególnych prac zgodnie z umowami, będą realizowane przed terminami zakończenia projektu/kamieni milowych dotyczących odbiorów. Będą wskazane 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F32768" w:rsidTr="001E27CF">
        <w:trPr>
          <w:trHeight w:val="7011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Zarządzanie projektem  / Wydatkowanie drugiej części budżetu projektu 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69" w:type="dxa"/>
            <w:hideMark/>
          </w:tcPr>
          <w:p w:rsidR="00ED66EC" w:rsidRPr="00F32768" w:rsidRDefault="00ED66EC" w:rsidP="00470A6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B468F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470A61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="00B468F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540" w:type="dxa"/>
            <w:hideMark/>
          </w:tcPr>
          <w:p w:rsidR="006B109D" w:rsidRPr="00F32768" w:rsidRDefault="006B109D" w:rsidP="006B109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Kamień milowy 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był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opóźnio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ny ze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względu na opóźnienia z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skanowania, odbioru sprzętu IT. Ponadto podpisano umowy z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skanowania, usługi programowania na kwoty niższe niż to założono we Wniosku o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F32768" w:rsidRDefault="00E55566" w:rsidP="00C70D8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miało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wpływu na osiągnięcie wskaźników projektu, oraz termin zakończenia projektu. Wniosko</w:t>
            </w:r>
            <w:r w:rsidR="00C70D8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dawca podpisywał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umowy, tak,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żeby zrealizować projekt w planowanym terminie. Odbiory poszczególnych prac zgodnie z umowami, będą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terminami zakończenia projektu/kamieni milowych dotyczących odbioró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ędą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wskazane</w:t>
            </w:r>
            <w:r w:rsidR="00582CD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wcześniejsze terminy odbiorów, na wypadek gdyby wykonawcy spóźniali się z terminami realizacji. Ponadto przewidywane są kary umowne za niedotrzymywanie terminów.</w:t>
            </w:r>
          </w:p>
        </w:tc>
      </w:tr>
      <w:tr w:rsidR="00ED66EC" w:rsidRPr="00F32768" w:rsidTr="00AB68DA">
        <w:trPr>
          <w:trHeight w:val="468"/>
        </w:trPr>
        <w:tc>
          <w:tcPr>
            <w:tcW w:w="2031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projektem  / Wydatkowanie trzeciej części budżetu projektu</w:t>
            </w:r>
          </w:p>
        </w:tc>
        <w:tc>
          <w:tcPr>
            <w:tcW w:w="2017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69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40" w:type="dxa"/>
            <w:hideMark/>
          </w:tcPr>
          <w:p w:rsidR="00ED66EC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realizacji.</w:t>
            </w:r>
          </w:p>
          <w:p w:rsidR="00D61368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opóźniony, oraz nie został osiągnięty ze względu na opóźnienia z rozpoczęciem prac: usługi programowania, usługi skanowania, odbioru sprzętu IT. Ponadto podpisano umowy z wykonawcami usługi skanowania, usługi programowania na kwoty niższe niż to założono we Wniosku o dofinansowanie.</w:t>
            </w: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ma wpływu na osiągnięcie wskaźników projektu, oraz termin zakończenia projektu. Wnioskodawca podpisuje umowy i planuje podpisywać kolejne, tak, żeby zrealizować projekt w planowanym terminie. Odbiory poszczególnych prac zgodnie z umowami, będą realizowane przed terminami zakończenia projektu/kamieni milowych dotyczących odbiorów. Będą wskazane wcześniejsze terminy odbiorów, na wypadek gdyby wykonawcy spóźniali się z terminami realizacji. Ponadto przewidywane są kary umowne za niedotrzymywanie terminów.</w:t>
            </w:r>
          </w:p>
        </w:tc>
      </w:tr>
    </w:tbl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141A92" w:rsidRPr="00F32768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B68DA" w:rsidRPr="00F32768" w:rsidTr="00B2760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B68DA" w:rsidRPr="00F32768" w:rsidTr="00B27604">
        <w:trPr>
          <w:trHeight w:val="588"/>
        </w:trPr>
        <w:tc>
          <w:tcPr>
            <w:tcW w:w="2545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podmiotów, które udostępniły on-line informacje sektora publicznego [szt.]</w:t>
            </w:r>
          </w:p>
        </w:tc>
        <w:tc>
          <w:tcPr>
            <w:tcW w:w="1278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hideMark/>
          </w:tcPr>
          <w:p w:rsidR="00AB68DA" w:rsidRPr="00F32768" w:rsidRDefault="00AB68DA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dotyczy;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975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zdigitalizowanych dokumentów zawierających informacje sektora publicznego [szt.]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45179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F47A18" w:rsidP="003E41F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Na</w:t>
            </w:r>
            <w:r w:rsidR="00582CD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bieżącym etapie realizacji projektu we wnioskach o płatność nie była ewidencjonowana wartość wskaźnika.</w:t>
            </w:r>
          </w:p>
        </w:tc>
      </w:tr>
      <w:tr w:rsidR="009D4929" w:rsidRPr="00F32768" w:rsidTr="00B27604">
        <w:trPr>
          <w:trHeight w:val="974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 [szt.]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47519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utworzonych API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baz danych udostępnionych on-line poprzez API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777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pobrań/odtworzeń dokumentów zawierających informacje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sektora publicznego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1 265 000,00 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osiągnięty będzie</w:t>
            </w:r>
            <w:r w:rsidR="00582CD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zakończeniu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A5754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55,8 TB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AA04D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</w:t>
            </w:r>
            <w:r w:rsidR="002F5A5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y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</w:tbl>
    <w:p w:rsidR="007D2C34" w:rsidRPr="00F32768" w:rsidRDefault="007D2C34" w:rsidP="00A91EF6">
      <w:pPr>
        <w:pStyle w:val="Nagwek2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color w:val="auto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F32768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F32768" w:rsidTr="00517F12">
        <w:tc>
          <w:tcPr>
            <w:tcW w:w="2937" w:type="dxa"/>
          </w:tcPr>
          <w:p w:rsidR="007D38BD" w:rsidRPr="00F32768" w:rsidRDefault="00755C67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3F660D" w:rsidRPr="00F32768" w:rsidRDefault="003F660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A822B4" w:rsidRPr="00F32768" w:rsidRDefault="00933BEC" w:rsidP="00A91EF6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3276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4"/>
        <w:gridCol w:w="1395"/>
        <w:gridCol w:w="4006"/>
      </w:tblGrid>
      <w:tr w:rsidR="00C6751B" w:rsidRPr="00F32768" w:rsidTr="00DF65E2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F32768" w:rsidRDefault="000F307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F3276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822B4" w:rsidRPr="00F32768" w:rsidTr="00DF65E2">
        <w:tc>
          <w:tcPr>
            <w:tcW w:w="2969" w:type="dxa"/>
          </w:tcPr>
          <w:p w:rsidR="00A822B4" w:rsidRPr="00F32768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Wdrożenie usługi „PORTAL BEZPIECZEŃSTWA I OBRONNOŚCI AKADEMII SZTUKI WOJENNEJ”. </w:t>
            </w:r>
          </w:p>
          <w:p w:rsidR="00A822B4" w:rsidRPr="00F32768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2B4" w:rsidRPr="00F32768" w:rsidRDefault="00A822B4" w:rsidP="00D21C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Polega na udostępnieniu ponad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47,5 tys. </w:t>
            </w:r>
            <w:r w:rsidR="00665565" w:rsidRPr="00F32768">
              <w:rPr>
                <w:rFonts w:ascii="Arial" w:hAnsi="Arial" w:cs="Arial"/>
                <w:sz w:val="18"/>
                <w:szCs w:val="18"/>
              </w:rPr>
              <w:t>z</w:t>
            </w:r>
            <w:r w:rsidRPr="00F32768">
              <w:rPr>
                <w:rFonts w:ascii="Arial" w:hAnsi="Arial" w:cs="Arial"/>
                <w:sz w:val="18"/>
                <w:szCs w:val="18"/>
              </w:rPr>
              <w:t>digitalizowanych</w:t>
            </w:r>
            <w:r w:rsidR="00665565" w:rsidRPr="00F32768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F32768">
              <w:rPr>
                <w:rFonts w:ascii="Arial" w:hAnsi="Arial" w:cs="Arial"/>
                <w:sz w:val="18"/>
                <w:szCs w:val="18"/>
              </w:rPr>
              <w:t>okumentów</w:t>
            </w:r>
            <w:r w:rsidR="00665565" w:rsidRPr="00F32768">
              <w:rPr>
                <w:rFonts w:ascii="Arial" w:hAnsi="Arial" w:cs="Arial"/>
                <w:sz w:val="18"/>
                <w:szCs w:val="18"/>
              </w:rPr>
              <w:t xml:space="preserve"> zawierających</w:t>
            </w:r>
            <w:r w:rsidR="00DD2958" w:rsidRPr="00F32768">
              <w:rPr>
                <w:rFonts w:ascii="Arial" w:hAnsi="Arial" w:cs="Arial"/>
                <w:sz w:val="18"/>
                <w:szCs w:val="18"/>
              </w:rPr>
              <w:t xml:space="preserve"> informacje sektora publicznego</w:t>
            </w:r>
            <w:r w:rsidR="00582C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stanowiących zasoby nauki z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zakresu obronności i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bezpieczeństwa kraju</w:t>
            </w:r>
            <w:r w:rsidR="00582C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2768">
              <w:rPr>
                <w:rFonts w:ascii="Arial" w:hAnsi="Arial" w:cs="Arial"/>
                <w:sz w:val="18"/>
                <w:szCs w:val="18"/>
              </w:rPr>
              <w:t>gromadzone w Bibliotece Głównej Akademii Sztuki Wojennej</w:t>
            </w:r>
          </w:p>
        </w:tc>
        <w:tc>
          <w:tcPr>
            <w:tcW w:w="1264" w:type="dxa"/>
          </w:tcPr>
          <w:p w:rsidR="00A822B4" w:rsidRPr="00F32768" w:rsidRDefault="00A822B4" w:rsidP="00A91EF6">
            <w:pPr>
              <w:ind w:left="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A822B4" w:rsidRPr="00F32768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A822B4" w:rsidRPr="00F32768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006" w:type="dxa"/>
          </w:tcPr>
          <w:p w:rsidR="00A822B4" w:rsidRPr="00F32768" w:rsidRDefault="00E005A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A822B4" w:rsidRPr="00F32768" w:rsidRDefault="00A822B4" w:rsidP="00A91EF6">
      <w:pPr>
        <w:pStyle w:val="Nagwek3"/>
        <w:spacing w:before="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</w:p>
    <w:p w:rsidR="00F55924" w:rsidRPr="00F32768" w:rsidRDefault="00F55924" w:rsidP="00F55924"/>
    <w:p w:rsidR="002877C9" w:rsidRPr="00F32768" w:rsidRDefault="004C1D48" w:rsidP="00A91EF6">
      <w:pPr>
        <w:pStyle w:val="Nagwek3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</w:p>
    <w:p w:rsidR="00CB3E02" w:rsidRPr="00F32768" w:rsidRDefault="00CB3E02" w:rsidP="00A91EF6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9"/>
        <w:gridCol w:w="1164"/>
        <w:gridCol w:w="1593"/>
        <w:gridCol w:w="4535"/>
      </w:tblGrid>
      <w:tr w:rsidR="00CB3E02" w:rsidRPr="00F32768" w:rsidTr="00B27604">
        <w:trPr>
          <w:trHeight w:val="288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data wdrożenia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Komplementarność względem produktów innych projektów </w:t>
            </w:r>
          </w:p>
        </w:tc>
      </w:tr>
      <w:tr w:rsidR="00CB3E02" w:rsidRPr="00F32768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System „PORTAL BEZPIECZEŃSTWA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I OBRONNOŚCI AKADEMII SZTUKI WOJENNEJ” – system udostępniania zasobów naukowych ASzWoj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B3E02" w:rsidRPr="00F32768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API do publicznego udostępniania</w:t>
            </w:r>
          </w:p>
          <w:p w:rsidR="00CB3E02" w:rsidRPr="00F32768" w:rsidRDefault="00CB3E02" w:rsidP="009D0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metadanych i zasobów cyfrowych (API umożliwi integrację istniejących w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ASzWoj systemów bibliotecznych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w ramach katalogu bibliotecznego)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3E41F5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CB3E02" w:rsidRPr="00F32768" w:rsidRDefault="00CB3E02" w:rsidP="00A91EF6">
      <w:pPr>
        <w:jc w:val="both"/>
      </w:pPr>
    </w:p>
    <w:p w:rsidR="00BB059E" w:rsidRPr="00F32768" w:rsidRDefault="00BB059E" w:rsidP="00A91EF6">
      <w:pPr>
        <w:pStyle w:val="Akapitzlist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F32768" w:rsidRDefault="00CF2E64" w:rsidP="00A91EF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2595"/>
        <w:gridCol w:w="2977"/>
      </w:tblGrid>
      <w:tr w:rsidR="00322614" w:rsidRPr="00F32768" w:rsidTr="0094622A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595" w:type="dxa"/>
            <w:shd w:val="clear" w:color="auto" w:fill="D0CECE" w:themeFill="background2" w:themeFillShade="E6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322614" w:rsidRPr="00F32768" w:rsidRDefault="00A26CF1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F32768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3F660D" w:rsidRPr="00F32768" w:rsidTr="009520AE">
        <w:trPr>
          <w:trHeight w:val="674"/>
        </w:trPr>
        <w:tc>
          <w:tcPr>
            <w:tcW w:w="229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we wdrożeniu</w:t>
            </w:r>
          </w:p>
        </w:tc>
        <w:tc>
          <w:tcPr>
            <w:tcW w:w="163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F32768" w:rsidRDefault="003F660D" w:rsidP="006B109D">
            <w:pPr>
              <w:pStyle w:val="Tekstkomentarza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Ustanowienie struktury i zasad zarządzania projektem zgodnie </w:t>
            </w:r>
            <w:r w:rsidR="007E7719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z najlepszymi metodykami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celu stworzenia właściwych ram kontrolnych i decyzyjnych w trakcie realizacji projektu, mianowanie managera projektu oraz stworzenie Komitetu Sterującego, wraz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mechanizmem eskalacji i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raportowania o postępach i ryzykach. Dodatkowo uwzględnienie odpowiednich klauzul w umowie </w:t>
            </w:r>
            <w:r w:rsidR="009520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 jasno określonymi terminami i karami za opóźnienia.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Spodziewanym efektem powyższych działań będzie realizacja projektu w terminie. Nie nastąpiła </w:t>
            </w:r>
            <w:r w:rsidR="006B109D"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w zakresie danego ryzyka w stosunku do poprzedniego okresu sprawozdawczego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3F660D" w:rsidRPr="00F32768" w:rsidTr="0094622A">
        <w:trPr>
          <w:trHeight w:val="828"/>
        </w:trPr>
        <w:tc>
          <w:tcPr>
            <w:tcW w:w="229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Nieoczekiwany wzrost kosztów operacyjnych</w:t>
            </w:r>
          </w:p>
        </w:tc>
        <w:tc>
          <w:tcPr>
            <w:tcW w:w="1633" w:type="dxa"/>
            <w:hideMark/>
          </w:tcPr>
          <w:p w:rsidR="003F660D" w:rsidRPr="00F32768" w:rsidRDefault="00D96507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595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977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Ryzyko jest znikome ze względu na podpisane umowy, które powodują, że najprawdopodobniej projekt zakończy się wydatkowaniem niższych środków finansowych niż założono we wniosku </w:t>
            </w:r>
            <w:r w:rsidR="009520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  <w:p w:rsidR="00E005A4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zarządzania ryzykiem p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rowadzona jest kontrola budżetowa, wyznaczenie 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anagera projektu oraz regularne raportowanie postępów i ryzyk projektu, wraz</w:t>
            </w:r>
            <w:r w:rsidR="00582CD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mechanizmem eskalacji i akceptacji kosztów przez Komitet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 przy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pełnym zaangażowaniu lidera i partnera Projektu. </w:t>
            </w:r>
          </w:p>
          <w:p w:rsidR="006B109D" w:rsidRDefault="006B109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Pr="00F32768" w:rsidRDefault="008C02F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Faktycznym e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fektem tych działań jest zmniejszenie kosztów operacyjnych w projekcie i tym samym znikome ryzyko wzrostu kosztów operacyjnych. Nie nastąpiła </w:t>
            </w:r>
            <w:r w:rsidR="006B109D"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w zakresie danego ryzyka w stosunku do poprzedniego okresu sprawozdawczego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:rsidR="00E005A4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F660D" w:rsidRPr="00F32768" w:rsidTr="0094622A">
        <w:trPr>
          <w:trHeight w:val="1848"/>
        </w:trPr>
        <w:tc>
          <w:tcPr>
            <w:tcW w:w="229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zrealizowanie celów Projektu</w:t>
            </w:r>
          </w:p>
        </w:tc>
        <w:tc>
          <w:tcPr>
            <w:tcW w:w="163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</w:t>
            </w:r>
            <w:r w:rsidR="00D9650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to wiąże się z nietrafioną analizą popytu i potrzeb organizacyjno-technicznych lub niezidentyfikowania barier formalnych trudnych do przejścia w krótkim terminie. Ryzyko to zostało zaadresowane na etapie przygotowawczym Projektu. Oparto się na wywiadach środowiskowych, ankietach, analizie technicznej oraz doświadczeniu operacyjnym pracowników</w:t>
            </w:r>
            <w:r w:rsidR="00582CD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755C6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ASzWoj.</w:t>
            </w:r>
          </w:p>
          <w:p w:rsidR="00E005A4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0627F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zarządzania ryzykiem 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następujące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działania:</w:t>
            </w:r>
          </w:p>
          <w:p w:rsidR="00E005A4" w:rsidRPr="00F32768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cykliczne spotkania z Komitetem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terującym oceniającym statut projektu,</w:t>
            </w:r>
          </w:p>
          <w:p w:rsidR="0020627F" w:rsidRPr="00F32768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ścisła współpraca Kierownika projektu z Kierownikami zadań, specjalistą ds. rozliczania projektów i pozostałymi pracownikami.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zespole projektowym panuje kultura organizacyjna w ramach której członkowie innych Zadań komunikują się ze sobą w celu doboru skutecznych rozwiązań.</w:t>
            </w:r>
          </w:p>
          <w:p w:rsidR="00E005A4" w:rsidRDefault="0020627F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skuteczne p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rzygotowanie działań promocyjnych. Na każdym etapie realizacji projektu, w tym na wczesnym etapie realizacji projektu informowane jest otoczenie o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planowanym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projekcie, oraz jego</w:t>
            </w:r>
            <w:r w:rsidR="00BB21BF" w:rsidRPr="00F32768"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rezultatach.</w:t>
            </w:r>
          </w:p>
          <w:p w:rsidR="006B109D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Default="008C02F9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Spodziewanym e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fektem tych działań będzie zrealizowanie celów 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tym osiągnięcie wskaźników projektu.</w:t>
            </w:r>
          </w:p>
          <w:p w:rsidR="006B109D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Pr="00F32768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Nie nastąpiła </w:t>
            </w:r>
            <w:r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w zakresie danego ryzyka w stosunku do poprzedniego okresu sprawozdawczego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:rsidR="00141A92" w:rsidRPr="00F32768" w:rsidRDefault="00141A92" w:rsidP="00A91EF6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CF2E64" w:rsidRPr="00F32768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F32768" w:rsidTr="00DF65E2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3276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D556DB" w:rsidRPr="00F32768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F32768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DF65E2" w:rsidRPr="00F32768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F32768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dostępem do systemu udostępniania zasobów.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B21128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 komunikacja, informacja, promocja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  <w:tr w:rsidR="00DF65E2" w:rsidRPr="00F32768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F32768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Zbyt niska  Liczba pobrań/odtworzeń dokumentów zawierających informacje sektora publicznego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128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</w:t>
            </w:r>
            <w:r w:rsidR="00582CD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komunikacja, informacja, promocja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</w:t>
            </w:r>
          </w:p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</w:tbl>
    <w:p w:rsidR="00C60C84" w:rsidRPr="00F32768" w:rsidRDefault="00C60C84" w:rsidP="00C60C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3276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C60C84" w:rsidRPr="00F32768" w:rsidRDefault="00472144" w:rsidP="00141A92">
      <w:pPr>
        <w:spacing w:before="240" w:after="120"/>
        <w:rPr>
          <w:rFonts w:ascii="Arial" w:hAnsi="Arial" w:cs="Arial"/>
        </w:rPr>
      </w:pPr>
      <w:r w:rsidRPr="00F32768">
        <w:rPr>
          <w:rFonts w:ascii="Arial" w:hAnsi="Arial" w:cs="Arial"/>
        </w:rPr>
        <w:t>Nie dotyczy</w:t>
      </w:r>
    </w:p>
    <w:p w:rsidR="00C60C84" w:rsidRPr="00F32768" w:rsidRDefault="00C60C84" w:rsidP="00141A92">
      <w:pPr>
        <w:spacing w:before="240" w:after="120"/>
        <w:rPr>
          <w:rFonts w:ascii="Arial" w:hAnsi="Arial" w:cs="Arial"/>
        </w:rPr>
      </w:pPr>
    </w:p>
    <w:p w:rsidR="00546BE3" w:rsidRPr="00F32768" w:rsidRDefault="00BB059E" w:rsidP="007F2235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582CD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bookmarkStart w:id="0" w:name="_GoBack"/>
      <w:bookmarkEnd w:id="0"/>
      <w:r w:rsidR="00546BE3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Piotr Dobrowolski</w:t>
      </w:r>
      <w:r w:rsidR="00755C67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, Biblioteka Główna, </w:t>
      </w:r>
      <w:r w:rsidR="00546BE3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p.dobrowolski@akademia.mil.pl</w:t>
      </w:r>
      <w:hyperlink r:id="rId8" w:history="1"/>
      <w:r w:rsidR="00755C67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; </w:t>
      </w:r>
    </w:p>
    <w:p w:rsidR="00FB1271" w:rsidRPr="00F32768" w:rsidRDefault="00755C67" w:rsidP="00546BE3">
      <w:pPr>
        <w:pStyle w:val="Akapitzlist"/>
        <w:spacing w:after="0"/>
        <w:ind w:left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tel.: </w:t>
      </w:r>
      <w:r w:rsidR="007C2FD6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887 777</w:t>
      </w:r>
      <w:r w:rsidR="001E00E5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 </w:t>
      </w:r>
      <w:r w:rsidR="007C2FD6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522</w:t>
      </w:r>
    </w:p>
    <w:p w:rsidR="001E00E5" w:rsidRPr="00F32768" w:rsidRDefault="001E00E5" w:rsidP="001E00E5">
      <w:pPr>
        <w:spacing w:after="0"/>
        <w:jc w:val="both"/>
        <w:rPr>
          <w:rFonts w:ascii="Arial" w:hAnsi="Arial" w:cs="Arial"/>
        </w:rPr>
      </w:pPr>
    </w:p>
    <w:p w:rsidR="00C60C84" w:rsidRPr="009150CF" w:rsidRDefault="00C60C84" w:rsidP="001E00E5">
      <w:pPr>
        <w:spacing w:after="0"/>
        <w:jc w:val="both"/>
        <w:rPr>
          <w:rFonts w:ascii="Arial" w:hAnsi="Arial" w:cs="Arial"/>
        </w:rPr>
      </w:pPr>
    </w:p>
    <w:sectPr w:rsidR="00C60C84" w:rsidRPr="009150CF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4A6" w:rsidRDefault="005064A6" w:rsidP="00BB2420">
      <w:pPr>
        <w:spacing w:after="0" w:line="240" w:lineRule="auto"/>
      </w:pPr>
      <w:r>
        <w:separator/>
      </w:r>
    </w:p>
  </w:endnote>
  <w:endnote w:type="continuationSeparator" w:id="0">
    <w:p w:rsidR="005064A6" w:rsidRDefault="005064A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61368" w:rsidRDefault="00D61368">
            <w:pPr>
              <w:pStyle w:val="Stopka"/>
              <w:jc w:val="right"/>
            </w:pPr>
            <w:r>
              <w:t xml:space="preserve">Strona </w:t>
            </w:r>
            <w:r w:rsidR="0085406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54061">
              <w:rPr>
                <w:b/>
                <w:bCs/>
                <w:sz w:val="24"/>
                <w:szCs w:val="24"/>
              </w:rPr>
              <w:fldChar w:fldCharType="separate"/>
            </w:r>
            <w:r w:rsidR="00582CD6">
              <w:rPr>
                <w:b/>
                <w:bCs/>
                <w:noProof/>
              </w:rPr>
              <w:t>10</w:t>
            </w:r>
            <w:r w:rsidR="0085406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:rsidR="00D61368" w:rsidRDefault="00D613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4A6" w:rsidRDefault="005064A6" w:rsidP="00BB2420">
      <w:pPr>
        <w:spacing w:after="0" w:line="240" w:lineRule="auto"/>
      </w:pPr>
      <w:r>
        <w:separator/>
      </w:r>
    </w:p>
  </w:footnote>
  <w:footnote w:type="continuationSeparator" w:id="0">
    <w:p w:rsidR="005064A6" w:rsidRDefault="005064A6" w:rsidP="00BB2420">
      <w:pPr>
        <w:spacing w:after="0" w:line="240" w:lineRule="auto"/>
      </w:pPr>
      <w:r>
        <w:continuationSeparator/>
      </w:r>
    </w:p>
  </w:footnote>
  <w:footnote w:id="1">
    <w:p w:rsidR="00D61368" w:rsidRDefault="00D61368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D61368" w:rsidRDefault="00D61368" w:rsidP="00ED66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8411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353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91BD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5036A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C36D0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2A1B3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D1855E7"/>
    <w:multiLevelType w:val="hybridMultilevel"/>
    <w:tmpl w:val="771E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D85664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24"/>
  </w:num>
  <w:num w:numId="22">
    <w:abstractNumId w:val="9"/>
  </w:num>
  <w:num w:numId="23">
    <w:abstractNumId w:val="4"/>
  </w:num>
  <w:num w:numId="24">
    <w:abstractNumId w:val="6"/>
  </w:num>
  <w:num w:numId="25">
    <w:abstractNumId w:val="11"/>
  </w:num>
  <w:num w:numId="26">
    <w:abstractNumId w:val="27"/>
  </w:num>
  <w:num w:numId="27">
    <w:abstractNumId w:val="16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06A"/>
    <w:rsid w:val="00006C02"/>
    <w:rsid w:val="00006E59"/>
    <w:rsid w:val="00013C6E"/>
    <w:rsid w:val="0001628B"/>
    <w:rsid w:val="000253D9"/>
    <w:rsid w:val="0003294D"/>
    <w:rsid w:val="0003664E"/>
    <w:rsid w:val="00042819"/>
    <w:rsid w:val="00043DD9"/>
    <w:rsid w:val="00044D68"/>
    <w:rsid w:val="00045218"/>
    <w:rsid w:val="00047D9D"/>
    <w:rsid w:val="00052AE2"/>
    <w:rsid w:val="00062FD5"/>
    <w:rsid w:val="00070663"/>
    <w:rsid w:val="000767E1"/>
    <w:rsid w:val="000767E7"/>
    <w:rsid w:val="00084E5B"/>
    <w:rsid w:val="00086B5D"/>
    <w:rsid w:val="00087231"/>
    <w:rsid w:val="00090E2E"/>
    <w:rsid w:val="00095944"/>
    <w:rsid w:val="0009768C"/>
    <w:rsid w:val="000A1DFB"/>
    <w:rsid w:val="000A2F32"/>
    <w:rsid w:val="000A3938"/>
    <w:rsid w:val="000B3E49"/>
    <w:rsid w:val="000C3AE9"/>
    <w:rsid w:val="000D5922"/>
    <w:rsid w:val="000E0060"/>
    <w:rsid w:val="000E1828"/>
    <w:rsid w:val="000E4BF8"/>
    <w:rsid w:val="000F20A9"/>
    <w:rsid w:val="000F307B"/>
    <w:rsid w:val="000F30B9"/>
    <w:rsid w:val="00101227"/>
    <w:rsid w:val="001052B2"/>
    <w:rsid w:val="00112BB3"/>
    <w:rsid w:val="001143DA"/>
    <w:rsid w:val="0011693F"/>
    <w:rsid w:val="00122388"/>
    <w:rsid w:val="001240AA"/>
    <w:rsid w:val="00124C3D"/>
    <w:rsid w:val="00141A92"/>
    <w:rsid w:val="00145E84"/>
    <w:rsid w:val="0015102C"/>
    <w:rsid w:val="00160014"/>
    <w:rsid w:val="00160569"/>
    <w:rsid w:val="00176FBB"/>
    <w:rsid w:val="00181E97"/>
    <w:rsid w:val="00182A08"/>
    <w:rsid w:val="00184922"/>
    <w:rsid w:val="00187572"/>
    <w:rsid w:val="001A0CCD"/>
    <w:rsid w:val="001A2EF2"/>
    <w:rsid w:val="001A6944"/>
    <w:rsid w:val="001B335F"/>
    <w:rsid w:val="001B6473"/>
    <w:rsid w:val="001C2D74"/>
    <w:rsid w:val="001C7FAC"/>
    <w:rsid w:val="001D4342"/>
    <w:rsid w:val="001D7E93"/>
    <w:rsid w:val="001E00E5"/>
    <w:rsid w:val="001E0CAC"/>
    <w:rsid w:val="001E16A3"/>
    <w:rsid w:val="001E1DEA"/>
    <w:rsid w:val="001E27CF"/>
    <w:rsid w:val="001E7199"/>
    <w:rsid w:val="001F24A0"/>
    <w:rsid w:val="001F67EC"/>
    <w:rsid w:val="0020330A"/>
    <w:rsid w:val="0020627F"/>
    <w:rsid w:val="00213077"/>
    <w:rsid w:val="00230462"/>
    <w:rsid w:val="00237279"/>
    <w:rsid w:val="00240D69"/>
    <w:rsid w:val="00241B5E"/>
    <w:rsid w:val="00245774"/>
    <w:rsid w:val="00252087"/>
    <w:rsid w:val="00261D7E"/>
    <w:rsid w:val="002752B8"/>
    <w:rsid w:val="00276C00"/>
    <w:rsid w:val="00284905"/>
    <w:rsid w:val="002877C9"/>
    <w:rsid w:val="002977B2"/>
    <w:rsid w:val="00297DC3"/>
    <w:rsid w:val="002A1C20"/>
    <w:rsid w:val="002A3983"/>
    <w:rsid w:val="002A3C02"/>
    <w:rsid w:val="002A5452"/>
    <w:rsid w:val="002A6198"/>
    <w:rsid w:val="002B199A"/>
    <w:rsid w:val="002B4889"/>
    <w:rsid w:val="002B50C0"/>
    <w:rsid w:val="002B6F21"/>
    <w:rsid w:val="002C1D41"/>
    <w:rsid w:val="002C42C6"/>
    <w:rsid w:val="002C515E"/>
    <w:rsid w:val="002D3D4A"/>
    <w:rsid w:val="002D7ADA"/>
    <w:rsid w:val="002E5A5E"/>
    <w:rsid w:val="002F31D2"/>
    <w:rsid w:val="002F517E"/>
    <w:rsid w:val="002F5A5F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5B28"/>
    <w:rsid w:val="00355BC0"/>
    <w:rsid w:val="00356A3E"/>
    <w:rsid w:val="003642B8"/>
    <w:rsid w:val="0036743A"/>
    <w:rsid w:val="003745CE"/>
    <w:rsid w:val="00376850"/>
    <w:rsid w:val="0039100E"/>
    <w:rsid w:val="003A4115"/>
    <w:rsid w:val="003B5B7A"/>
    <w:rsid w:val="003C7325"/>
    <w:rsid w:val="003D666B"/>
    <w:rsid w:val="003D7DD0"/>
    <w:rsid w:val="003E3144"/>
    <w:rsid w:val="003E41F5"/>
    <w:rsid w:val="003E6008"/>
    <w:rsid w:val="003F660D"/>
    <w:rsid w:val="003F70FD"/>
    <w:rsid w:val="00402BA3"/>
    <w:rsid w:val="00405EA4"/>
    <w:rsid w:val="0041034F"/>
    <w:rsid w:val="0041151A"/>
    <w:rsid w:val="004118A3"/>
    <w:rsid w:val="0041284A"/>
    <w:rsid w:val="00415CBB"/>
    <w:rsid w:val="00422A9C"/>
    <w:rsid w:val="00422F34"/>
    <w:rsid w:val="00423A26"/>
    <w:rsid w:val="004247DC"/>
    <w:rsid w:val="00425046"/>
    <w:rsid w:val="004350B8"/>
    <w:rsid w:val="00443811"/>
    <w:rsid w:val="00444AAB"/>
    <w:rsid w:val="00450089"/>
    <w:rsid w:val="0047092A"/>
    <w:rsid w:val="00470A61"/>
    <w:rsid w:val="00472144"/>
    <w:rsid w:val="0047599E"/>
    <w:rsid w:val="00487DBD"/>
    <w:rsid w:val="00491A5A"/>
    <w:rsid w:val="004B17AA"/>
    <w:rsid w:val="004C1D48"/>
    <w:rsid w:val="004C2CA9"/>
    <w:rsid w:val="004D2B86"/>
    <w:rsid w:val="004D65CA"/>
    <w:rsid w:val="004F6E89"/>
    <w:rsid w:val="004F6FAE"/>
    <w:rsid w:val="005064A6"/>
    <w:rsid w:val="00517F12"/>
    <w:rsid w:val="0052102C"/>
    <w:rsid w:val="00524E6C"/>
    <w:rsid w:val="005332D6"/>
    <w:rsid w:val="005429D1"/>
    <w:rsid w:val="00544DFE"/>
    <w:rsid w:val="00546BE3"/>
    <w:rsid w:val="00552A2F"/>
    <w:rsid w:val="00555DEE"/>
    <w:rsid w:val="005564AD"/>
    <w:rsid w:val="00561236"/>
    <w:rsid w:val="005734CE"/>
    <w:rsid w:val="00582CD6"/>
    <w:rsid w:val="00586664"/>
    <w:rsid w:val="00593290"/>
    <w:rsid w:val="005939F2"/>
    <w:rsid w:val="0059415B"/>
    <w:rsid w:val="005A12F7"/>
    <w:rsid w:val="005A1B30"/>
    <w:rsid w:val="005A1C5F"/>
    <w:rsid w:val="005A6D1D"/>
    <w:rsid w:val="005B04FC"/>
    <w:rsid w:val="005B1A32"/>
    <w:rsid w:val="005B636D"/>
    <w:rsid w:val="005B72C4"/>
    <w:rsid w:val="005C0469"/>
    <w:rsid w:val="005C6116"/>
    <w:rsid w:val="005C77BB"/>
    <w:rsid w:val="005D17CF"/>
    <w:rsid w:val="005D2DC4"/>
    <w:rsid w:val="005D5AAB"/>
    <w:rsid w:val="005D6E12"/>
    <w:rsid w:val="005E0ED8"/>
    <w:rsid w:val="005E56CE"/>
    <w:rsid w:val="005E6ABD"/>
    <w:rsid w:val="005F41FA"/>
    <w:rsid w:val="00600AE4"/>
    <w:rsid w:val="00601CA9"/>
    <w:rsid w:val="006054AA"/>
    <w:rsid w:val="00610479"/>
    <w:rsid w:val="0062054D"/>
    <w:rsid w:val="00622268"/>
    <w:rsid w:val="006334BF"/>
    <w:rsid w:val="00635A54"/>
    <w:rsid w:val="006419AA"/>
    <w:rsid w:val="006615FC"/>
    <w:rsid w:val="00661A62"/>
    <w:rsid w:val="006622A9"/>
    <w:rsid w:val="00665565"/>
    <w:rsid w:val="0066742B"/>
    <w:rsid w:val="006731D9"/>
    <w:rsid w:val="0068118B"/>
    <w:rsid w:val="006822BC"/>
    <w:rsid w:val="0068491D"/>
    <w:rsid w:val="006A60AA"/>
    <w:rsid w:val="006B034F"/>
    <w:rsid w:val="006B109D"/>
    <w:rsid w:val="006B20C5"/>
    <w:rsid w:val="006B5117"/>
    <w:rsid w:val="006B5291"/>
    <w:rsid w:val="006B7879"/>
    <w:rsid w:val="006C7427"/>
    <w:rsid w:val="006D41A5"/>
    <w:rsid w:val="006E0CFA"/>
    <w:rsid w:val="006E4021"/>
    <w:rsid w:val="006E6205"/>
    <w:rsid w:val="006E7CF5"/>
    <w:rsid w:val="006F61A2"/>
    <w:rsid w:val="00701800"/>
    <w:rsid w:val="00703436"/>
    <w:rsid w:val="00704F0E"/>
    <w:rsid w:val="00725708"/>
    <w:rsid w:val="00740A47"/>
    <w:rsid w:val="0074403F"/>
    <w:rsid w:val="00746ABD"/>
    <w:rsid w:val="0075097F"/>
    <w:rsid w:val="00755C67"/>
    <w:rsid w:val="007673EF"/>
    <w:rsid w:val="00771303"/>
    <w:rsid w:val="0077418F"/>
    <w:rsid w:val="00775C44"/>
    <w:rsid w:val="00784119"/>
    <w:rsid w:val="007924CE"/>
    <w:rsid w:val="00793924"/>
    <w:rsid w:val="00795AFA"/>
    <w:rsid w:val="007A082B"/>
    <w:rsid w:val="007A4742"/>
    <w:rsid w:val="007A7536"/>
    <w:rsid w:val="007B0251"/>
    <w:rsid w:val="007C2F7E"/>
    <w:rsid w:val="007C2FD6"/>
    <w:rsid w:val="007C6235"/>
    <w:rsid w:val="007D1990"/>
    <w:rsid w:val="007D2C34"/>
    <w:rsid w:val="007D38BD"/>
    <w:rsid w:val="007D3D75"/>
    <w:rsid w:val="007D3F21"/>
    <w:rsid w:val="007D59A3"/>
    <w:rsid w:val="007E341A"/>
    <w:rsid w:val="007E7719"/>
    <w:rsid w:val="007F126F"/>
    <w:rsid w:val="007F2235"/>
    <w:rsid w:val="008032EE"/>
    <w:rsid w:val="00806134"/>
    <w:rsid w:val="00830B70"/>
    <w:rsid w:val="0083473B"/>
    <w:rsid w:val="00840749"/>
    <w:rsid w:val="00854061"/>
    <w:rsid w:val="0085467C"/>
    <w:rsid w:val="008568A6"/>
    <w:rsid w:val="0087452F"/>
    <w:rsid w:val="00874DEC"/>
    <w:rsid w:val="00875528"/>
    <w:rsid w:val="00884686"/>
    <w:rsid w:val="008946CB"/>
    <w:rsid w:val="0089611C"/>
    <w:rsid w:val="008A332F"/>
    <w:rsid w:val="008A3768"/>
    <w:rsid w:val="008A52F6"/>
    <w:rsid w:val="008B7F7B"/>
    <w:rsid w:val="008C02F9"/>
    <w:rsid w:val="008C1F85"/>
    <w:rsid w:val="008C4BCD"/>
    <w:rsid w:val="008C4DA3"/>
    <w:rsid w:val="008C6721"/>
    <w:rsid w:val="008D3826"/>
    <w:rsid w:val="008E6991"/>
    <w:rsid w:val="008F2D9B"/>
    <w:rsid w:val="008F7E58"/>
    <w:rsid w:val="0090253F"/>
    <w:rsid w:val="00902CD5"/>
    <w:rsid w:val="00907F6D"/>
    <w:rsid w:val="00911190"/>
    <w:rsid w:val="0091332C"/>
    <w:rsid w:val="009150CF"/>
    <w:rsid w:val="00920E61"/>
    <w:rsid w:val="009256F2"/>
    <w:rsid w:val="00925D9D"/>
    <w:rsid w:val="00933BEC"/>
    <w:rsid w:val="00936729"/>
    <w:rsid w:val="0094622A"/>
    <w:rsid w:val="00950F4F"/>
    <w:rsid w:val="0095154A"/>
    <w:rsid w:val="0095183B"/>
    <w:rsid w:val="009520AE"/>
    <w:rsid w:val="00952126"/>
    <w:rsid w:val="00952617"/>
    <w:rsid w:val="009663A6"/>
    <w:rsid w:val="009668AA"/>
    <w:rsid w:val="00971A40"/>
    <w:rsid w:val="009743F7"/>
    <w:rsid w:val="00976434"/>
    <w:rsid w:val="00992EA3"/>
    <w:rsid w:val="009967CA"/>
    <w:rsid w:val="009A17FF"/>
    <w:rsid w:val="009B085E"/>
    <w:rsid w:val="009B115B"/>
    <w:rsid w:val="009B4423"/>
    <w:rsid w:val="009C6140"/>
    <w:rsid w:val="009D0103"/>
    <w:rsid w:val="009D2FA4"/>
    <w:rsid w:val="009D4929"/>
    <w:rsid w:val="009D60BE"/>
    <w:rsid w:val="009D7D8A"/>
    <w:rsid w:val="009E223C"/>
    <w:rsid w:val="009E384E"/>
    <w:rsid w:val="009E4C67"/>
    <w:rsid w:val="009F09BF"/>
    <w:rsid w:val="009F10BD"/>
    <w:rsid w:val="009F10C6"/>
    <w:rsid w:val="009F1DC8"/>
    <w:rsid w:val="009F36B3"/>
    <w:rsid w:val="009F437E"/>
    <w:rsid w:val="009F4EBE"/>
    <w:rsid w:val="009F7E62"/>
    <w:rsid w:val="00A00C40"/>
    <w:rsid w:val="00A01096"/>
    <w:rsid w:val="00A01B65"/>
    <w:rsid w:val="00A022CD"/>
    <w:rsid w:val="00A05D6E"/>
    <w:rsid w:val="00A11788"/>
    <w:rsid w:val="00A14A0F"/>
    <w:rsid w:val="00A175B8"/>
    <w:rsid w:val="00A21DAB"/>
    <w:rsid w:val="00A26565"/>
    <w:rsid w:val="00A26CF1"/>
    <w:rsid w:val="00A30847"/>
    <w:rsid w:val="00A36AE2"/>
    <w:rsid w:val="00A43E49"/>
    <w:rsid w:val="00A44EA2"/>
    <w:rsid w:val="00A5255C"/>
    <w:rsid w:val="00A56D63"/>
    <w:rsid w:val="00A5754D"/>
    <w:rsid w:val="00A6141B"/>
    <w:rsid w:val="00A64D37"/>
    <w:rsid w:val="00A67685"/>
    <w:rsid w:val="00A728AE"/>
    <w:rsid w:val="00A804AE"/>
    <w:rsid w:val="00A822B4"/>
    <w:rsid w:val="00A86449"/>
    <w:rsid w:val="00A87C1C"/>
    <w:rsid w:val="00A91EF6"/>
    <w:rsid w:val="00A970CA"/>
    <w:rsid w:val="00AA04D4"/>
    <w:rsid w:val="00AA45A9"/>
    <w:rsid w:val="00AA4CAB"/>
    <w:rsid w:val="00AA51AD"/>
    <w:rsid w:val="00AB2E01"/>
    <w:rsid w:val="00AB2FFB"/>
    <w:rsid w:val="00AB68DA"/>
    <w:rsid w:val="00AC7E26"/>
    <w:rsid w:val="00AD45BB"/>
    <w:rsid w:val="00AE0BA8"/>
    <w:rsid w:val="00AE1643"/>
    <w:rsid w:val="00AE3A6C"/>
    <w:rsid w:val="00AE4960"/>
    <w:rsid w:val="00AF09B8"/>
    <w:rsid w:val="00AF567D"/>
    <w:rsid w:val="00B04981"/>
    <w:rsid w:val="00B11071"/>
    <w:rsid w:val="00B12566"/>
    <w:rsid w:val="00B12FCD"/>
    <w:rsid w:val="00B17606"/>
    <w:rsid w:val="00B17709"/>
    <w:rsid w:val="00B20F7C"/>
    <w:rsid w:val="00B21128"/>
    <w:rsid w:val="00B27604"/>
    <w:rsid w:val="00B379C9"/>
    <w:rsid w:val="00B41415"/>
    <w:rsid w:val="00B43EE0"/>
    <w:rsid w:val="00B440C3"/>
    <w:rsid w:val="00B462DE"/>
    <w:rsid w:val="00B468F7"/>
    <w:rsid w:val="00B50560"/>
    <w:rsid w:val="00B64B3C"/>
    <w:rsid w:val="00B673C6"/>
    <w:rsid w:val="00B7343E"/>
    <w:rsid w:val="00B74859"/>
    <w:rsid w:val="00B87D3D"/>
    <w:rsid w:val="00B906BF"/>
    <w:rsid w:val="00B91A1F"/>
    <w:rsid w:val="00BA35DA"/>
    <w:rsid w:val="00BA481C"/>
    <w:rsid w:val="00BB059E"/>
    <w:rsid w:val="00BB21BF"/>
    <w:rsid w:val="00BB2420"/>
    <w:rsid w:val="00BB5ACE"/>
    <w:rsid w:val="00BC1BD2"/>
    <w:rsid w:val="00BC6042"/>
    <w:rsid w:val="00BC6BE4"/>
    <w:rsid w:val="00BE47CD"/>
    <w:rsid w:val="00BE5BF9"/>
    <w:rsid w:val="00BF40E9"/>
    <w:rsid w:val="00C03B58"/>
    <w:rsid w:val="00C1106C"/>
    <w:rsid w:val="00C22179"/>
    <w:rsid w:val="00C24101"/>
    <w:rsid w:val="00C26361"/>
    <w:rsid w:val="00C302F1"/>
    <w:rsid w:val="00C42AEA"/>
    <w:rsid w:val="00C4666C"/>
    <w:rsid w:val="00C47F42"/>
    <w:rsid w:val="00C54D09"/>
    <w:rsid w:val="00C57985"/>
    <w:rsid w:val="00C60C84"/>
    <w:rsid w:val="00C6751B"/>
    <w:rsid w:val="00C70D88"/>
    <w:rsid w:val="00CA0CBA"/>
    <w:rsid w:val="00CA516B"/>
    <w:rsid w:val="00CA608B"/>
    <w:rsid w:val="00CB3E02"/>
    <w:rsid w:val="00CC5F35"/>
    <w:rsid w:val="00CC7E21"/>
    <w:rsid w:val="00CD7563"/>
    <w:rsid w:val="00CE5600"/>
    <w:rsid w:val="00CE74F9"/>
    <w:rsid w:val="00CE7777"/>
    <w:rsid w:val="00CF2E64"/>
    <w:rsid w:val="00CF300D"/>
    <w:rsid w:val="00CF434B"/>
    <w:rsid w:val="00CF47F6"/>
    <w:rsid w:val="00D00A8C"/>
    <w:rsid w:val="00D21C05"/>
    <w:rsid w:val="00D25CFE"/>
    <w:rsid w:val="00D36802"/>
    <w:rsid w:val="00D4607F"/>
    <w:rsid w:val="00D4692D"/>
    <w:rsid w:val="00D556DB"/>
    <w:rsid w:val="00D57025"/>
    <w:rsid w:val="00D57765"/>
    <w:rsid w:val="00D60A09"/>
    <w:rsid w:val="00D61368"/>
    <w:rsid w:val="00D63538"/>
    <w:rsid w:val="00D76022"/>
    <w:rsid w:val="00D77F50"/>
    <w:rsid w:val="00D803B6"/>
    <w:rsid w:val="00D8497C"/>
    <w:rsid w:val="00D859F4"/>
    <w:rsid w:val="00D85A52"/>
    <w:rsid w:val="00D86FEC"/>
    <w:rsid w:val="00D9374F"/>
    <w:rsid w:val="00D95631"/>
    <w:rsid w:val="00D96507"/>
    <w:rsid w:val="00DA1913"/>
    <w:rsid w:val="00DA34DF"/>
    <w:rsid w:val="00DA5860"/>
    <w:rsid w:val="00DB5369"/>
    <w:rsid w:val="00DB69FD"/>
    <w:rsid w:val="00DC0A8A"/>
    <w:rsid w:val="00DC1705"/>
    <w:rsid w:val="00DC39A9"/>
    <w:rsid w:val="00DC4C79"/>
    <w:rsid w:val="00DD2958"/>
    <w:rsid w:val="00DD3E9A"/>
    <w:rsid w:val="00DD7A96"/>
    <w:rsid w:val="00DD7B8B"/>
    <w:rsid w:val="00DE4A62"/>
    <w:rsid w:val="00DE6249"/>
    <w:rsid w:val="00DE731D"/>
    <w:rsid w:val="00DF1F30"/>
    <w:rsid w:val="00DF65E2"/>
    <w:rsid w:val="00E005A4"/>
    <w:rsid w:val="00E0076D"/>
    <w:rsid w:val="00E11B44"/>
    <w:rsid w:val="00E159EE"/>
    <w:rsid w:val="00E15DEB"/>
    <w:rsid w:val="00E1688D"/>
    <w:rsid w:val="00E203EB"/>
    <w:rsid w:val="00E232F8"/>
    <w:rsid w:val="00E31BC6"/>
    <w:rsid w:val="00E33AC5"/>
    <w:rsid w:val="00E35401"/>
    <w:rsid w:val="00E375DB"/>
    <w:rsid w:val="00E42938"/>
    <w:rsid w:val="00E4384C"/>
    <w:rsid w:val="00E47508"/>
    <w:rsid w:val="00E53739"/>
    <w:rsid w:val="00E540D6"/>
    <w:rsid w:val="00E55566"/>
    <w:rsid w:val="00E55EB0"/>
    <w:rsid w:val="00E57BB7"/>
    <w:rsid w:val="00E57E6D"/>
    <w:rsid w:val="00E61CB0"/>
    <w:rsid w:val="00E628AD"/>
    <w:rsid w:val="00E71256"/>
    <w:rsid w:val="00E71BCF"/>
    <w:rsid w:val="00E80653"/>
    <w:rsid w:val="00E80983"/>
    <w:rsid w:val="00E81D7C"/>
    <w:rsid w:val="00E83FA4"/>
    <w:rsid w:val="00E86020"/>
    <w:rsid w:val="00E916A8"/>
    <w:rsid w:val="00E9662D"/>
    <w:rsid w:val="00EA0B4F"/>
    <w:rsid w:val="00EA702E"/>
    <w:rsid w:val="00EA78C3"/>
    <w:rsid w:val="00EC2AFC"/>
    <w:rsid w:val="00EC56D8"/>
    <w:rsid w:val="00ED66EC"/>
    <w:rsid w:val="00EE6E7F"/>
    <w:rsid w:val="00F07601"/>
    <w:rsid w:val="00F11316"/>
    <w:rsid w:val="00F114A3"/>
    <w:rsid w:val="00F127E9"/>
    <w:rsid w:val="00F138F7"/>
    <w:rsid w:val="00F174B7"/>
    <w:rsid w:val="00F2008A"/>
    <w:rsid w:val="00F21D9E"/>
    <w:rsid w:val="00F25348"/>
    <w:rsid w:val="00F27CAF"/>
    <w:rsid w:val="00F32768"/>
    <w:rsid w:val="00F412DB"/>
    <w:rsid w:val="00F43D2D"/>
    <w:rsid w:val="00F45506"/>
    <w:rsid w:val="00F46FC2"/>
    <w:rsid w:val="00F47A18"/>
    <w:rsid w:val="00F50D95"/>
    <w:rsid w:val="00F55924"/>
    <w:rsid w:val="00F5598C"/>
    <w:rsid w:val="00F57A0C"/>
    <w:rsid w:val="00F60062"/>
    <w:rsid w:val="00F613CC"/>
    <w:rsid w:val="00F70410"/>
    <w:rsid w:val="00F720F5"/>
    <w:rsid w:val="00F75596"/>
    <w:rsid w:val="00F765D0"/>
    <w:rsid w:val="00F76777"/>
    <w:rsid w:val="00F83F2F"/>
    <w:rsid w:val="00F86555"/>
    <w:rsid w:val="00F9769E"/>
    <w:rsid w:val="00FB09CC"/>
    <w:rsid w:val="00FB1271"/>
    <w:rsid w:val="00FC3502"/>
    <w:rsid w:val="00FC3B03"/>
    <w:rsid w:val="00FE7AC8"/>
    <w:rsid w:val="00FF03A2"/>
    <w:rsid w:val="00FF22C4"/>
    <w:rsid w:val="00FF3E95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55C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asinska@akademia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4681D-6A14-473E-8E7E-8264A93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2548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2019-10-09T11:25:00Z</dcterms:created>
  <dcterms:modified xsi:type="dcterms:W3CDTF">2019-10-11T06:25:00Z</dcterms:modified>
</cp:coreProperties>
</file>